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2741" w:rsidRDefault="00991F44" w:rsidP="00B862BE">
      <w:r>
        <w:rPr>
          <w:noProof/>
        </w:rPr>
        <w:drawing>
          <wp:anchor distT="0" distB="0" distL="114300" distR="114300" simplePos="0" relativeHeight="251665408" behindDoc="1" locked="1" layoutInCell="1" allowOverlap="1" wp14:anchorId="058F6DCF" wp14:editId="6A7462C2">
            <wp:simplePos x="0" y="0"/>
            <wp:positionH relativeFrom="column">
              <wp:posOffset>-794385</wp:posOffset>
            </wp:positionH>
            <wp:positionV relativeFrom="paragraph">
              <wp:posOffset>-311785</wp:posOffset>
            </wp:positionV>
            <wp:extent cx="7546975" cy="97669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FA Background Graphic.pdf"/>
                    <pic:cNvPicPr/>
                  </pic:nvPicPr>
                  <pic:blipFill>
                    <a:blip r:embed="rId5">
                      <a:extLst>
                        <a:ext uri="{28A0092B-C50C-407E-A947-70E740481C1C}">
                          <a14:useLocalDpi xmlns:a14="http://schemas.microsoft.com/office/drawing/2010/main" val="0"/>
                        </a:ext>
                      </a:extLst>
                    </a:blip>
                    <a:stretch>
                      <a:fillRect/>
                    </a:stretch>
                  </pic:blipFill>
                  <pic:spPr>
                    <a:xfrm>
                      <a:off x="0" y="0"/>
                      <a:ext cx="7546975" cy="9766935"/>
                    </a:xfrm>
                    <a:prstGeom prst="rect">
                      <a:avLst/>
                    </a:prstGeom>
                  </pic:spPr>
                </pic:pic>
              </a:graphicData>
            </a:graphic>
            <wp14:sizeRelH relativeFrom="page">
              <wp14:pctWidth>0</wp14:pctWidth>
            </wp14:sizeRelH>
            <wp14:sizeRelV relativeFrom="page">
              <wp14:pctHeight>0</wp14:pctHeight>
            </wp14:sizeRelV>
          </wp:anchor>
        </w:drawing>
      </w:r>
    </w:p>
    <w:p w:rsidR="003E0E7F" w:rsidRDefault="00991F44" w:rsidP="00A1020A">
      <w:pPr>
        <w:spacing w:line="240" w:lineRule="auto"/>
      </w:pPr>
      <w:bookmarkStart w:id="0" w:name="_GoBack"/>
      <w:r>
        <w:rPr>
          <w:noProof/>
        </w:rPr>
        <w:drawing>
          <wp:anchor distT="0" distB="0" distL="114300" distR="114300" simplePos="0" relativeHeight="251663360" behindDoc="0" locked="0" layoutInCell="1" allowOverlap="1" wp14:anchorId="419B0AE2" wp14:editId="73FD6733">
            <wp:simplePos x="0" y="0"/>
            <wp:positionH relativeFrom="column">
              <wp:posOffset>-38735</wp:posOffset>
            </wp:positionH>
            <wp:positionV relativeFrom="paragraph">
              <wp:posOffset>6340363</wp:posOffset>
            </wp:positionV>
            <wp:extent cx="6271260" cy="1647190"/>
            <wp:effectExtent l="0" t="0" r="0" b="3810"/>
            <wp:wrapThrough wrapText="bothSides">
              <wp:wrapPolygon edited="0">
                <wp:start x="3324" y="0"/>
                <wp:lineTo x="437" y="500"/>
                <wp:lineTo x="437" y="2665"/>
                <wp:lineTo x="3106" y="2665"/>
                <wp:lineTo x="2318" y="5329"/>
                <wp:lineTo x="1881" y="6495"/>
                <wp:lineTo x="1618" y="7661"/>
                <wp:lineTo x="481" y="10658"/>
                <wp:lineTo x="1750" y="13490"/>
                <wp:lineTo x="2581" y="15988"/>
                <wp:lineTo x="3062" y="18652"/>
                <wp:lineTo x="3324" y="21317"/>
                <wp:lineTo x="3324" y="21483"/>
                <wp:lineTo x="18372" y="21483"/>
                <wp:lineTo x="18372" y="21317"/>
                <wp:lineTo x="18634" y="18652"/>
                <wp:lineTo x="19072" y="15988"/>
                <wp:lineTo x="19947" y="13656"/>
                <wp:lineTo x="19990" y="13323"/>
                <wp:lineTo x="21215" y="10658"/>
                <wp:lineTo x="19772" y="7994"/>
                <wp:lineTo x="19903" y="7161"/>
                <wp:lineTo x="19597" y="6162"/>
                <wp:lineTo x="18940" y="5329"/>
                <wp:lineTo x="19334" y="5163"/>
                <wp:lineTo x="19290" y="4330"/>
                <wp:lineTo x="18591" y="2665"/>
                <wp:lineTo x="20296" y="2665"/>
                <wp:lineTo x="20296" y="2165"/>
                <wp:lineTo x="18372" y="0"/>
                <wp:lineTo x="3324"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FA Background Graphic 3.pdf"/>
                    <pic:cNvPicPr/>
                  </pic:nvPicPr>
                  <pic:blipFill rotWithShape="1">
                    <a:blip r:embed="rId6">
                      <a:extLst>
                        <a:ext uri="{28A0092B-C50C-407E-A947-70E740481C1C}">
                          <a14:useLocalDpi xmlns:a14="http://schemas.microsoft.com/office/drawing/2010/main" val="0"/>
                        </a:ext>
                      </a:extLst>
                    </a:blip>
                    <a:srcRect t="39908" b="39791"/>
                    <a:stretch/>
                  </pic:blipFill>
                  <pic:spPr bwMode="auto">
                    <a:xfrm>
                      <a:off x="0" y="0"/>
                      <a:ext cx="6271260" cy="1647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r>
        <w:rPr>
          <w:noProof/>
        </w:rPr>
        <mc:AlternateContent>
          <mc:Choice Requires="wps">
            <w:drawing>
              <wp:anchor distT="0" distB="0" distL="114300" distR="114300" simplePos="0" relativeHeight="251660288" behindDoc="0" locked="0" layoutInCell="1" allowOverlap="1" wp14:anchorId="684ADC48" wp14:editId="1AF19984">
                <wp:simplePos x="0" y="0"/>
                <wp:positionH relativeFrom="column">
                  <wp:posOffset>-7732</wp:posOffset>
                </wp:positionH>
                <wp:positionV relativeFrom="paragraph">
                  <wp:posOffset>716280</wp:posOffset>
                </wp:positionV>
                <wp:extent cx="6329045" cy="616839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6329045" cy="61683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C87622" w:rsidRDefault="00B6548A" w:rsidP="00EC4074">
                            <w:r w:rsidRPr="00B6548A">
                              <w:rPr>
                                <w:rStyle w:val="Heading2Char"/>
                              </w:rPr>
                              <w:t>THE FURMAN ADVANTAGE </w:t>
                            </w:r>
                            <w:r w:rsidR="00C87622" w:rsidRPr="00916C6F">
                              <w:t>guarantees every student an unpar</w:t>
                            </w:r>
                            <w:r w:rsidR="00EC4074">
                              <w:t xml:space="preserve">alleled education </w:t>
                            </w:r>
                            <w:r w:rsidR="00A1020A">
                              <w:br/>
                            </w:r>
                            <w:r w:rsidR="00EC4074">
                              <w:t xml:space="preserve">that </w:t>
                            </w:r>
                            <w:r w:rsidR="0060338A">
                              <w:t xml:space="preserve">combines </w:t>
                            </w:r>
                            <w:r w:rsidR="00C87622" w:rsidRPr="00916C6F">
                              <w:t xml:space="preserve">classroom learning with real-world experiences and self-discovery. This integrated </w:t>
                            </w:r>
                            <w:r w:rsidR="00A1020A">
                              <w:br/>
                            </w:r>
                            <w:r w:rsidR="00C87622" w:rsidRPr="00916C6F">
                              <w:t xml:space="preserve">four-year pathway, guided by a diverse community of mentors, prepares students for lives of purpose and accelerated career and community impact—demonstrating in concrete </w:t>
                            </w:r>
                            <w:r w:rsidR="00C87622" w:rsidRPr="00B6548A">
                              <w:t>terms the value of a Furman education.</w:t>
                            </w:r>
                          </w:p>
                          <w:p w:rsidR="00EC4074" w:rsidRPr="00B6548A" w:rsidRDefault="00EC4074" w:rsidP="00B6548A"/>
                          <w:p w:rsidR="00C87622" w:rsidRPr="00916C6F" w:rsidRDefault="00C87622" w:rsidP="00B6548A">
                            <w:r w:rsidRPr="00B6548A">
                              <w:t>The Furman Advantage promises a personalized educational experience that provides</w:t>
                            </w:r>
                            <w:r w:rsidRPr="00916C6F">
                              <w:t xml:space="preserve"> lifelong value for every student. This transformative experience includes:</w:t>
                            </w:r>
                          </w:p>
                          <w:p w:rsidR="00C87622" w:rsidRPr="0060338A" w:rsidRDefault="00C87622" w:rsidP="00B6548A">
                            <w:pPr>
                              <w:numPr>
                                <w:ilvl w:val="0"/>
                                <w:numId w:val="1"/>
                              </w:numPr>
                            </w:pPr>
                            <w:r w:rsidRPr="0060338A">
                              <w:rPr>
                                <w:rFonts w:eastAsia="Times New Roman"/>
                                <w:b/>
                                <w:spacing w:val="2"/>
                              </w:rPr>
                              <w:t>Self-discovery</w:t>
                            </w:r>
                            <w:r w:rsidR="0060338A">
                              <w:rPr>
                                <w:rFonts w:eastAsia="Times New Roman"/>
                                <w:b/>
                                <w:spacing w:val="2"/>
                              </w:rPr>
                              <w:br/>
                            </w:r>
                            <w:r w:rsidRPr="0060338A">
                              <w:t>A guided journey of self-discovery into a personalized academic path that tracks both progress and outcomes. Each student will embark on an individualized, coordinated, four-year pathway of academic study, self-reflection, and mentorship that corresponds with project-based and community-centered learning, career exploration and internships, faculty research collaborations, and immersive global experiences.</w:t>
                            </w:r>
                          </w:p>
                          <w:p w:rsidR="00A65523" w:rsidRPr="0060338A" w:rsidRDefault="00A65523" w:rsidP="00B6548A">
                            <w:pPr>
                              <w:numPr>
                                <w:ilvl w:val="0"/>
                                <w:numId w:val="1"/>
                              </w:numPr>
                              <w:rPr>
                                <w:rFonts w:eastAsia="Times New Roman"/>
                                <w:b/>
                                <w:spacing w:val="2"/>
                              </w:rPr>
                            </w:pPr>
                            <w:r w:rsidRPr="0060338A">
                              <w:rPr>
                                <w:rFonts w:eastAsia="Times New Roman"/>
                                <w:b/>
                                <w:spacing w:val="2"/>
                              </w:rPr>
                              <w:t>Interconnected student experiences</w:t>
                            </w:r>
                            <w:r w:rsidR="0060338A">
                              <w:rPr>
                                <w:rFonts w:eastAsia="Times New Roman"/>
                                <w:b/>
                                <w:spacing w:val="2"/>
                              </w:rPr>
                              <w:br/>
                            </w:r>
                            <w:r w:rsidRPr="0060338A">
                              <w:t>A set of interconnected student experiences in which each year builds on the year before, reinforcing the unfolding process of intellectual growth, self-knowledge, and professional preparation.</w:t>
                            </w:r>
                          </w:p>
                          <w:p w:rsidR="00A65523" w:rsidRPr="0060338A" w:rsidRDefault="00A65523" w:rsidP="00B6548A">
                            <w:pPr>
                              <w:numPr>
                                <w:ilvl w:val="0"/>
                                <w:numId w:val="1"/>
                              </w:numPr>
                            </w:pPr>
                            <w:r w:rsidRPr="0060338A">
                              <w:rPr>
                                <w:rFonts w:eastAsia="Times New Roman"/>
                                <w:b/>
                                <w:spacing w:val="2"/>
                              </w:rPr>
                              <w:t>Team-based Advising</w:t>
                            </w:r>
                            <w:r w:rsidR="0060338A">
                              <w:rPr>
                                <w:rFonts w:eastAsia="Times New Roman"/>
                                <w:b/>
                                <w:spacing w:val="2"/>
                              </w:rPr>
                              <w:br/>
                            </w:r>
                            <w:r w:rsidRPr="0060338A">
                              <w:t>An innovative, team-based advising model that will provide a community of expert mentors to help guide students along their path.</w:t>
                            </w:r>
                          </w:p>
                          <w:p w:rsidR="00AD32E7" w:rsidRPr="00916C6F" w:rsidRDefault="00A65523" w:rsidP="00AD32E7">
                            <w:pPr>
                              <w:numPr>
                                <w:ilvl w:val="0"/>
                                <w:numId w:val="1"/>
                              </w:numPr>
                            </w:pPr>
                            <w:r w:rsidRPr="0060338A">
                              <w:rPr>
                                <w:rFonts w:eastAsia="Times New Roman"/>
                                <w:b/>
                                <w:spacing w:val="2"/>
                              </w:rPr>
                              <w:t>Engaged learning</w:t>
                            </w:r>
                            <w:r w:rsidR="0060338A">
                              <w:rPr>
                                <w:rFonts w:eastAsia="Times New Roman"/>
                                <w:b/>
                                <w:spacing w:val="2"/>
                              </w:rPr>
                              <w:br/>
                            </w:r>
                            <w:r w:rsidRPr="0060338A">
                              <w:t>Greatly expanded engaged learning experiences that connect classroom work to meaningful research, global study, professional practice, and projects that have direct community impact, enabling students to benefit from both our intimate campus environment and a university with infinite horizons that span from local to global.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4ADC48" id="_x0000_t202" coordsize="21600,21600" o:spt="202" path="m,l,21600r21600,l21600,xe">
                <v:stroke joinstyle="miter"/>
                <v:path gradientshapeok="t" o:connecttype="rect"/>
              </v:shapetype>
              <v:shape id="Text Box 3" o:spid="_x0000_s1026" type="#_x0000_t202" style="position:absolute;margin-left:-.6pt;margin-top:56.4pt;width:498.35pt;height:48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yedHeQIAAFoFAAAOAAAAZHJzL2Uyb0RvYy54bWysVE1v2zAMvQ/YfxB0X52vZk1Qp8hadBhQ&#13;&#10;tMXaoWdFlhpjkqhJTOzs14+SnTTrdumwi02RjxT5SOr8orWGbVWINbiSD08GnCknoardc8m/PV5/&#13;&#10;OOMsonCVMOBUyXcq8ovF+3fnjZ+rEazBVCowCuLivPElXyP6eVFEuVZWxBPwypFRQ7AC6RieiyqI&#13;&#10;hqJbU4wGg2nRQKh8AKliJO1VZ+SLHF9rJfFO66iQmZJTbpi/IX9X6VsszsX8OQi/rmWfhviHLKyo&#13;&#10;HV16CHUlULBNqP8IZWsZIILGEwm2AK1rqXINVM1w8Kqah7XwKtdC5ER/oCn+v7DydnsfWF2VfMyZ&#13;&#10;E5Za9KhaZJ+gZePETuPjnEAPnmDYkpq6vNdHUqaiWx1s+lM5jOzE8+7AbQomSTkdj2aDySlnkmzT&#13;&#10;4fRsPMvsFy/uPkT8rMCyJJQ8UPMyp2J7E5FSIegekm5zcF0bkxto3G8KAnYalSeg906VdBlnCXdG&#13;&#10;JS/jvipNDOTEkyLPnro0gW0FTY2QUjnMNee4hE4oTXe/xbHHJ9cuq7c4HzzyzeDw4GxrByGz9Crt&#13;&#10;6vs+Zd3hib+jupOI7artO7yCakcNDtAtSPTyuqYm3IiI9yLQRlBPacvxjj7aQFNy6CXO1hB+/k2f&#13;&#10;8DSoZOWsoQ0refyxEUFxZr44GuHZcDJJK5kPk9OPIzqEY8vq2OI29hKoHUN6T7zMYsKj2Ys6gH2i&#13;&#10;x2CZbiWTcJLuLjnuxUvs9p4eE6mWywyiJfQCb9yDlyl0ojeN2GP7JILv5xBphG9hv4ti/mocO2zy&#13;&#10;dLDcIOg6z2oiuGO1J54WOI9w/9ikF+L4nFEvT+LiFwAAAP//AwBQSwMEFAAGAAgAAAAhAOaOfrPh&#13;&#10;AAAAEAEAAA8AAABkcnMvZG93bnJldi54bWxMT01rwzAMvQ/2H4wGu7V2QjOaNE4ZK7turPuA3txY&#13;&#10;TUJjOcRuk/37aaftItDT0/sot7PrxRXH0HnSkCwVCKTa244aDR/vz4s1iBANWdN7Qg3fGGBb3d6U&#13;&#10;prB+oje87mMjWIRCYTS0MQ6FlKFu0Zmw9AMS305+dCbyOjbSjmZicdfLVKkH6UxH7NCaAZ9arM/7&#13;&#10;i9Pw+XI6fK3Ua7Nz2TD5WUlyudT6/m7ebXg8bkBEnOPfB/x24PxQcbCjv5ANotewSFJmMp6k3IMJ&#13;&#10;eZ5lII6MqPUqBVmV8n+R6gcAAP//AwBQSwECLQAUAAYACAAAACEAtoM4kv4AAADhAQAAEwAAAAAA&#13;&#10;AAAAAAAAAAAAAAAAW0NvbnRlbnRfVHlwZXNdLnhtbFBLAQItABQABgAIAAAAIQA4/SH/1gAAAJQB&#13;&#10;AAALAAAAAAAAAAAAAAAAAC8BAABfcmVscy8ucmVsc1BLAQItABQABgAIAAAAIQDpyedHeQIAAFoF&#13;&#10;AAAOAAAAAAAAAAAAAAAAAC4CAABkcnMvZTJvRG9jLnhtbFBLAQItABQABgAIAAAAIQDmjn6z4QAA&#13;&#10;ABABAAAPAAAAAAAAAAAAAAAAANMEAABkcnMvZG93bnJldi54bWxQSwUGAAAAAAQABADzAAAA4QUA&#13;&#10;AAAA&#13;&#10;" filled="f" stroked="f">
                <v:textbox>
                  <w:txbxContent>
                    <w:p w:rsidR="00C87622" w:rsidRDefault="00B6548A" w:rsidP="00EC4074">
                      <w:r w:rsidRPr="00B6548A">
                        <w:rPr>
                          <w:rStyle w:val="Heading2Char"/>
                        </w:rPr>
                        <w:t>THE FURMAN ADVANTAGE </w:t>
                      </w:r>
                      <w:r w:rsidR="00C87622" w:rsidRPr="00916C6F">
                        <w:t>guarantees every student an unpar</w:t>
                      </w:r>
                      <w:r w:rsidR="00EC4074">
                        <w:t xml:space="preserve">alleled education </w:t>
                      </w:r>
                      <w:r w:rsidR="00A1020A">
                        <w:br/>
                      </w:r>
                      <w:r w:rsidR="00EC4074">
                        <w:t xml:space="preserve">that </w:t>
                      </w:r>
                      <w:r w:rsidR="0060338A">
                        <w:t xml:space="preserve">combines </w:t>
                      </w:r>
                      <w:r w:rsidR="00C87622" w:rsidRPr="00916C6F">
                        <w:t xml:space="preserve">classroom learning with real-world experiences and self-discovery. This integrated </w:t>
                      </w:r>
                      <w:r w:rsidR="00A1020A">
                        <w:br/>
                      </w:r>
                      <w:r w:rsidR="00C87622" w:rsidRPr="00916C6F">
                        <w:t xml:space="preserve">four-year pathway, guided by a diverse community of mentors, prepares students for lives of purpose and accelerated career and community impact—demonstrating in concrete </w:t>
                      </w:r>
                      <w:r w:rsidR="00C87622" w:rsidRPr="00B6548A">
                        <w:t>terms the value of a Furman education.</w:t>
                      </w:r>
                    </w:p>
                    <w:p w:rsidR="00EC4074" w:rsidRPr="00B6548A" w:rsidRDefault="00EC4074" w:rsidP="00B6548A"/>
                    <w:p w:rsidR="00C87622" w:rsidRPr="00916C6F" w:rsidRDefault="00C87622" w:rsidP="00B6548A">
                      <w:r w:rsidRPr="00B6548A">
                        <w:t>The Furman Advantage promises a personalized educational experience that provides</w:t>
                      </w:r>
                      <w:r w:rsidRPr="00916C6F">
                        <w:t xml:space="preserve"> lifelong value for every student. This transformative experience includes:</w:t>
                      </w:r>
                    </w:p>
                    <w:p w:rsidR="00C87622" w:rsidRPr="0060338A" w:rsidRDefault="00C87622" w:rsidP="00B6548A">
                      <w:pPr>
                        <w:numPr>
                          <w:ilvl w:val="0"/>
                          <w:numId w:val="1"/>
                        </w:numPr>
                      </w:pPr>
                      <w:r w:rsidRPr="0060338A">
                        <w:rPr>
                          <w:rFonts w:eastAsia="Times New Roman"/>
                          <w:b/>
                          <w:spacing w:val="2"/>
                        </w:rPr>
                        <w:t>Self-discovery</w:t>
                      </w:r>
                      <w:r w:rsidR="0060338A">
                        <w:rPr>
                          <w:rFonts w:eastAsia="Times New Roman"/>
                          <w:b/>
                          <w:spacing w:val="2"/>
                        </w:rPr>
                        <w:br/>
                      </w:r>
                      <w:r w:rsidRPr="0060338A">
                        <w:t>A guided journey of self-discovery into a personalized academic path that tracks both progress and outcomes. Each student will embark on an individualized, coordinated, four-year pathway of academic study, self-reflection, and mentorship that corresponds with project-based and community-centered learning, career exploration and internships, faculty research collaborations, and immersive global experiences.</w:t>
                      </w:r>
                    </w:p>
                    <w:p w:rsidR="00A65523" w:rsidRPr="0060338A" w:rsidRDefault="00A65523" w:rsidP="00B6548A">
                      <w:pPr>
                        <w:numPr>
                          <w:ilvl w:val="0"/>
                          <w:numId w:val="1"/>
                        </w:numPr>
                        <w:rPr>
                          <w:rFonts w:eastAsia="Times New Roman"/>
                          <w:b/>
                          <w:spacing w:val="2"/>
                        </w:rPr>
                      </w:pPr>
                      <w:r w:rsidRPr="0060338A">
                        <w:rPr>
                          <w:rFonts w:eastAsia="Times New Roman"/>
                          <w:b/>
                          <w:spacing w:val="2"/>
                        </w:rPr>
                        <w:t>Interconnected student experiences</w:t>
                      </w:r>
                      <w:r w:rsidR="0060338A">
                        <w:rPr>
                          <w:rFonts w:eastAsia="Times New Roman"/>
                          <w:b/>
                          <w:spacing w:val="2"/>
                        </w:rPr>
                        <w:br/>
                      </w:r>
                      <w:r w:rsidRPr="0060338A">
                        <w:t>A set of interconnected student experiences in which each year builds on the year before, reinforcing the unfolding process of intellectual growth, self-knowledge, and professional preparation.</w:t>
                      </w:r>
                    </w:p>
                    <w:p w:rsidR="00A65523" w:rsidRPr="0060338A" w:rsidRDefault="00A65523" w:rsidP="00B6548A">
                      <w:pPr>
                        <w:numPr>
                          <w:ilvl w:val="0"/>
                          <w:numId w:val="1"/>
                        </w:numPr>
                      </w:pPr>
                      <w:r w:rsidRPr="0060338A">
                        <w:rPr>
                          <w:rFonts w:eastAsia="Times New Roman"/>
                          <w:b/>
                          <w:spacing w:val="2"/>
                        </w:rPr>
                        <w:t>Team-based Advising</w:t>
                      </w:r>
                      <w:r w:rsidR="0060338A">
                        <w:rPr>
                          <w:rFonts w:eastAsia="Times New Roman"/>
                          <w:b/>
                          <w:spacing w:val="2"/>
                        </w:rPr>
                        <w:br/>
                      </w:r>
                      <w:r w:rsidRPr="0060338A">
                        <w:t>An innovative, team-based advising model that will provide a community of expert mentors to help guide students along their path.</w:t>
                      </w:r>
                    </w:p>
                    <w:p w:rsidR="00AD32E7" w:rsidRPr="00916C6F" w:rsidRDefault="00A65523" w:rsidP="00AD32E7">
                      <w:pPr>
                        <w:numPr>
                          <w:ilvl w:val="0"/>
                          <w:numId w:val="1"/>
                        </w:numPr>
                      </w:pPr>
                      <w:r w:rsidRPr="0060338A">
                        <w:rPr>
                          <w:rFonts w:eastAsia="Times New Roman"/>
                          <w:b/>
                          <w:spacing w:val="2"/>
                        </w:rPr>
                        <w:t>Engaged learning</w:t>
                      </w:r>
                      <w:r w:rsidR="0060338A">
                        <w:rPr>
                          <w:rFonts w:eastAsia="Times New Roman"/>
                          <w:b/>
                          <w:spacing w:val="2"/>
                        </w:rPr>
                        <w:br/>
                      </w:r>
                      <w:r w:rsidRPr="0060338A">
                        <w:t>Greatly expanded engaged learning experiences that connect classroom work to meaningful research, global study, professional practice, and projects that have direct community impact, enabling students to benefit from both our intimate campus environment and a university with infinite horizons that span from local to global.</w:t>
                      </w:r>
                    </w:p>
                  </w:txbxContent>
                </v:textbox>
                <w10:wrap type="square"/>
              </v:shape>
            </w:pict>
          </mc:Fallback>
        </mc:AlternateContent>
      </w:r>
    </w:p>
    <w:sectPr w:rsidR="003E0E7F" w:rsidSect="00EC4074">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Light">
    <w:panose1 w:val="020B0403020202020204"/>
    <w:charset w:val="00"/>
    <w:family w:val="swiss"/>
    <w:pitch w:val="variable"/>
    <w:sig w:usb0="800000AF" w:usb1="4000204A" w:usb2="00000000" w:usb3="00000000" w:csb0="00000001" w:csb1="00000000"/>
  </w:font>
  <w:font w:name="Helvetica">
    <w:panose1 w:val="00000000000000000000"/>
    <w:charset w:val="00"/>
    <w:family w:val="auto"/>
    <w:pitch w:val="variable"/>
    <w:sig w:usb0="E00002FF" w:usb1="5000785B" w:usb2="00000000" w:usb3="00000000" w:csb0="0000019F" w:csb1="00000000"/>
  </w:font>
  <w:font w:name="Helvetica Bold Oblique">
    <w:altName w:val="Cambri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D239D0"/>
    <w:multiLevelType w:val="hybridMultilevel"/>
    <w:tmpl w:val="6518D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44"/>
    <w:rsid w:val="00054535"/>
    <w:rsid w:val="00310893"/>
    <w:rsid w:val="003E0E7F"/>
    <w:rsid w:val="003E4BCD"/>
    <w:rsid w:val="00427B74"/>
    <w:rsid w:val="0060338A"/>
    <w:rsid w:val="007072AF"/>
    <w:rsid w:val="00722B87"/>
    <w:rsid w:val="00916C6F"/>
    <w:rsid w:val="00962CC9"/>
    <w:rsid w:val="00991F44"/>
    <w:rsid w:val="009A670B"/>
    <w:rsid w:val="00A1020A"/>
    <w:rsid w:val="00A65523"/>
    <w:rsid w:val="00AC0A7E"/>
    <w:rsid w:val="00AD32E7"/>
    <w:rsid w:val="00B45321"/>
    <w:rsid w:val="00B6548A"/>
    <w:rsid w:val="00B862BE"/>
    <w:rsid w:val="00C816EF"/>
    <w:rsid w:val="00C87622"/>
    <w:rsid w:val="00E64C03"/>
    <w:rsid w:val="00EA2741"/>
    <w:rsid w:val="00EC4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6063D"/>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6548A"/>
    <w:pPr>
      <w:spacing w:line="360" w:lineRule="auto"/>
    </w:pPr>
    <w:rPr>
      <w:rFonts w:ascii="Helvetica Light" w:hAnsi="Helvetica Light"/>
      <w:color w:val="53575A" w:themeColor="accent5"/>
      <w:sz w:val="21"/>
      <w:szCs w:val="21"/>
    </w:rPr>
  </w:style>
  <w:style w:type="paragraph" w:styleId="Heading1">
    <w:name w:val="heading 1"/>
    <w:basedOn w:val="Normal"/>
    <w:next w:val="Normal"/>
    <w:link w:val="Heading1Char"/>
    <w:uiPriority w:val="9"/>
    <w:qFormat/>
    <w:rsid w:val="00B6548A"/>
    <w:pPr>
      <w:spacing w:line="240" w:lineRule="auto"/>
      <w:outlineLvl w:val="0"/>
    </w:pPr>
    <w:rPr>
      <w:rFonts w:ascii="Helvetica" w:hAnsi="Helvetica"/>
      <w:b/>
      <w:bCs/>
      <w:color w:val="6C4095" w:themeColor="text2"/>
      <w:sz w:val="32"/>
      <w:szCs w:val="32"/>
      <w:shd w:val="clear" w:color="auto" w:fill="FFFFFF"/>
    </w:rPr>
  </w:style>
  <w:style w:type="paragraph" w:styleId="Heading2">
    <w:name w:val="heading 2"/>
    <w:basedOn w:val="Normal"/>
    <w:next w:val="Normal"/>
    <w:link w:val="Heading2Char"/>
    <w:uiPriority w:val="9"/>
    <w:unhideWhenUsed/>
    <w:qFormat/>
    <w:rsid w:val="00B862BE"/>
    <w:pPr>
      <w:outlineLvl w:val="1"/>
    </w:pPr>
    <w:rPr>
      <w:b/>
      <w:color w:val="6C4095" w:themeColor="text2"/>
      <w:sz w:val="28"/>
      <w:szCs w:val="24"/>
    </w:rPr>
  </w:style>
  <w:style w:type="paragraph" w:styleId="Heading3">
    <w:name w:val="heading 3"/>
    <w:basedOn w:val="Normal"/>
    <w:link w:val="Heading3Char"/>
    <w:uiPriority w:val="9"/>
    <w:qFormat/>
    <w:rsid w:val="00B862BE"/>
    <w:pPr>
      <w:spacing w:before="100" w:beforeAutospacing="1" w:after="100" w:afterAutospacing="1"/>
      <w:outlineLvl w:val="2"/>
    </w:pPr>
    <w:rPr>
      <w:rFonts w:ascii="Helvetica" w:hAnsi="Helvetica" w:cs="Times New Roman"/>
      <w:b/>
      <w:bCs/>
      <w:sz w:val="24"/>
      <w:szCs w:val="27"/>
    </w:rPr>
  </w:style>
  <w:style w:type="paragraph" w:styleId="Heading4">
    <w:name w:val="heading 4"/>
    <w:basedOn w:val="Normal"/>
    <w:next w:val="Normal"/>
    <w:link w:val="Heading4Char"/>
    <w:uiPriority w:val="9"/>
    <w:semiHidden/>
    <w:unhideWhenUsed/>
    <w:qFormat/>
    <w:rsid w:val="00B862BE"/>
    <w:pPr>
      <w:keepNext/>
      <w:keepLines/>
      <w:spacing w:before="40"/>
      <w:outlineLvl w:val="3"/>
    </w:pPr>
    <w:rPr>
      <w:rFonts w:ascii="Helvetica Bold Oblique" w:eastAsiaTheme="majorEastAsia" w:hAnsi="Helvetica Bold Oblique" w:cstheme="majorBidi"/>
      <w:b/>
      <w:bCs/>
      <w:i/>
      <w:iCs/>
      <w:color w:val="AADEEB"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7622"/>
    <w:pPr>
      <w:spacing w:before="100" w:beforeAutospacing="1" w:after="100" w:afterAutospacing="1"/>
    </w:pPr>
    <w:rPr>
      <w:rFonts w:ascii="Times New Roman" w:hAnsi="Times New Roman" w:cs="Times New Roman"/>
    </w:rPr>
  </w:style>
  <w:style w:type="character" w:customStyle="1" w:styleId="Heading3Char">
    <w:name w:val="Heading 3 Char"/>
    <w:basedOn w:val="DefaultParagraphFont"/>
    <w:link w:val="Heading3"/>
    <w:uiPriority w:val="9"/>
    <w:rsid w:val="00B862BE"/>
    <w:rPr>
      <w:rFonts w:ascii="Helvetica" w:hAnsi="Helvetica" w:cs="Times New Roman"/>
      <w:b/>
      <w:bCs/>
      <w:color w:val="53575A" w:themeColor="accent5"/>
      <w:szCs w:val="27"/>
    </w:rPr>
  </w:style>
  <w:style w:type="character" w:customStyle="1" w:styleId="Heading1Char">
    <w:name w:val="Heading 1 Char"/>
    <w:basedOn w:val="DefaultParagraphFont"/>
    <w:link w:val="Heading1"/>
    <w:uiPriority w:val="9"/>
    <w:rsid w:val="00B6548A"/>
    <w:rPr>
      <w:rFonts w:ascii="Helvetica" w:hAnsi="Helvetica"/>
      <w:b/>
      <w:bCs/>
      <w:color w:val="6C4095" w:themeColor="text2"/>
      <w:sz w:val="32"/>
      <w:szCs w:val="32"/>
    </w:rPr>
  </w:style>
  <w:style w:type="character" w:customStyle="1" w:styleId="Heading2Char">
    <w:name w:val="Heading 2 Char"/>
    <w:basedOn w:val="DefaultParagraphFont"/>
    <w:link w:val="Heading2"/>
    <w:uiPriority w:val="9"/>
    <w:rsid w:val="00B862BE"/>
    <w:rPr>
      <w:rFonts w:ascii="Helvetica Light" w:hAnsi="Helvetica Light"/>
      <w:b/>
      <w:color w:val="6C4095" w:themeColor="text2"/>
      <w:sz w:val="28"/>
    </w:rPr>
  </w:style>
  <w:style w:type="character" w:customStyle="1" w:styleId="Heading4Char">
    <w:name w:val="Heading 4 Char"/>
    <w:basedOn w:val="DefaultParagraphFont"/>
    <w:link w:val="Heading4"/>
    <w:uiPriority w:val="9"/>
    <w:semiHidden/>
    <w:rsid w:val="00B862BE"/>
    <w:rPr>
      <w:rFonts w:ascii="Helvetica Bold Oblique" w:eastAsiaTheme="majorEastAsia" w:hAnsi="Helvetica Bold Oblique" w:cstheme="majorBidi"/>
      <w:b/>
      <w:bCs/>
      <w:i/>
      <w:iCs/>
      <w:color w:val="AADEEB" w:themeColor="accent1"/>
      <w:sz w:val="21"/>
      <w:szCs w:val="21"/>
    </w:rPr>
  </w:style>
  <w:style w:type="character" w:styleId="SubtleEmphasis">
    <w:name w:val="Subtle Emphasis"/>
    <w:basedOn w:val="DefaultParagraphFont"/>
    <w:uiPriority w:val="19"/>
    <w:qFormat/>
    <w:rsid w:val="00B862BE"/>
    <w:rPr>
      <w:rFonts w:ascii="Times" w:hAnsi="Times"/>
      <w:b w:val="0"/>
      <w:bCs w:val="0"/>
      <w:i/>
      <w:iCs/>
      <w:color w:val="6C4095" w:themeColor="text2"/>
    </w:rPr>
  </w:style>
  <w:style w:type="character" w:styleId="Emphasis">
    <w:name w:val="Emphasis"/>
    <w:basedOn w:val="DefaultParagraphFont"/>
    <w:uiPriority w:val="20"/>
    <w:qFormat/>
    <w:rsid w:val="00B862BE"/>
    <w:rPr>
      <w:rFonts w:ascii="Times" w:hAnsi="Times"/>
      <w:b w:val="0"/>
      <w:bCs w:val="0"/>
      <w:i/>
      <w:iCs/>
    </w:rPr>
  </w:style>
  <w:style w:type="character" w:styleId="IntenseEmphasis">
    <w:name w:val="Intense Emphasis"/>
    <w:basedOn w:val="DefaultParagraphFont"/>
    <w:uiPriority w:val="21"/>
    <w:qFormat/>
    <w:rsid w:val="00B862BE"/>
    <w:rPr>
      <w:rFonts w:ascii="Times" w:hAnsi="Times"/>
      <w:b/>
      <w:bCs/>
      <w:i/>
      <w:iCs/>
      <w:color w:val="6C4095" w:themeColor="text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085834">
      <w:bodyDiv w:val="1"/>
      <w:marLeft w:val="0"/>
      <w:marRight w:val="0"/>
      <w:marTop w:val="0"/>
      <w:marBottom w:val="0"/>
      <w:divBdr>
        <w:top w:val="none" w:sz="0" w:space="0" w:color="auto"/>
        <w:left w:val="none" w:sz="0" w:space="0" w:color="auto"/>
        <w:bottom w:val="none" w:sz="0" w:space="0" w:color="auto"/>
        <w:right w:val="none" w:sz="0" w:space="0" w:color="auto"/>
      </w:divBdr>
      <w:divsChild>
        <w:div w:id="1577125615">
          <w:marLeft w:val="0"/>
          <w:marRight w:val="0"/>
          <w:marTop w:val="0"/>
          <w:marBottom w:val="0"/>
          <w:divBdr>
            <w:top w:val="none" w:sz="0" w:space="0" w:color="auto"/>
            <w:left w:val="none" w:sz="0" w:space="0" w:color="auto"/>
            <w:bottom w:val="none" w:sz="0" w:space="0" w:color="auto"/>
            <w:right w:val="none" w:sz="0" w:space="0" w:color="auto"/>
          </w:divBdr>
        </w:div>
      </w:divsChild>
    </w:div>
    <w:div w:id="255284171">
      <w:bodyDiv w:val="1"/>
      <w:marLeft w:val="0"/>
      <w:marRight w:val="0"/>
      <w:marTop w:val="0"/>
      <w:marBottom w:val="0"/>
      <w:divBdr>
        <w:top w:val="none" w:sz="0" w:space="0" w:color="auto"/>
        <w:left w:val="none" w:sz="0" w:space="0" w:color="auto"/>
        <w:bottom w:val="none" w:sz="0" w:space="0" w:color="auto"/>
        <w:right w:val="none" w:sz="0" w:space="0" w:color="auto"/>
      </w:divBdr>
      <w:divsChild>
        <w:div w:id="2064939537">
          <w:marLeft w:val="0"/>
          <w:marRight w:val="0"/>
          <w:marTop w:val="0"/>
          <w:marBottom w:val="0"/>
          <w:divBdr>
            <w:top w:val="none" w:sz="0" w:space="0" w:color="auto"/>
            <w:left w:val="none" w:sz="0" w:space="0" w:color="auto"/>
            <w:bottom w:val="none" w:sz="0" w:space="0" w:color="auto"/>
            <w:right w:val="none" w:sz="0" w:space="0" w:color="auto"/>
          </w:divBdr>
        </w:div>
      </w:divsChild>
    </w:div>
    <w:div w:id="1316573225">
      <w:bodyDiv w:val="1"/>
      <w:marLeft w:val="0"/>
      <w:marRight w:val="0"/>
      <w:marTop w:val="0"/>
      <w:marBottom w:val="0"/>
      <w:divBdr>
        <w:top w:val="none" w:sz="0" w:space="0" w:color="auto"/>
        <w:left w:val="none" w:sz="0" w:space="0" w:color="auto"/>
        <w:bottom w:val="none" w:sz="0" w:space="0" w:color="auto"/>
        <w:right w:val="none" w:sz="0" w:space="0" w:color="auto"/>
      </w:divBdr>
    </w:div>
    <w:div w:id="1623029527">
      <w:bodyDiv w:val="1"/>
      <w:marLeft w:val="0"/>
      <w:marRight w:val="0"/>
      <w:marTop w:val="0"/>
      <w:marBottom w:val="0"/>
      <w:divBdr>
        <w:top w:val="none" w:sz="0" w:space="0" w:color="auto"/>
        <w:left w:val="none" w:sz="0" w:space="0" w:color="auto"/>
        <w:bottom w:val="none" w:sz="0" w:space="0" w:color="auto"/>
        <w:right w:val="none" w:sz="0" w:space="0" w:color="auto"/>
      </w:divBdr>
    </w:div>
    <w:div w:id="1652253309">
      <w:bodyDiv w:val="1"/>
      <w:marLeft w:val="0"/>
      <w:marRight w:val="0"/>
      <w:marTop w:val="0"/>
      <w:marBottom w:val="0"/>
      <w:divBdr>
        <w:top w:val="none" w:sz="0" w:space="0" w:color="auto"/>
        <w:left w:val="none" w:sz="0" w:space="0" w:color="auto"/>
        <w:bottom w:val="none" w:sz="0" w:space="0" w:color="auto"/>
        <w:right w:val="none" w:sz="0" w:space="0" w:color="auto"/>
      </w:divBdr>
    </w:div>
    <w:div w:id="198130463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Furman">
      <a:dk1>
        <a:srgbClr val="6C4095"/>
      </a:dk1>
      <a:lt1>
        <a:srgbClr val="FFFFFF"/>
      </a:lt1>
      <a:dk2>
        <a:srgbClr val="6C4095"/>
      </a:dk2>
      <a:lt2>
        <a:srgbClr val="E7E6E6"/>
      </a:lt2>
      <a:accent1>
        <a:srgbClr val="AADEEB"/>
      </a:accent1>
      <a:accent2>
        <a:srgbClr val="F1BD19"/>
      </a:accent2>
      <a:accent3>
        <a:srgbClr val="669933"/>
      </a:accent3>
      <a:accent4>
        <a:srgbClr val="E2322B"/>
      </a:accent4>
      <a:accent5>
        <a:srgbClr val="53575A"/>
      </a:accent5>
      <a:accent6>
        <a:srgbClr val="201546"/>
      </a:accent6>
      <a:hlink>
        <a:srgbClr val="F1BD19"/>
      </a:hlink>
      <a:folHlink>
        <a:srgbClr val="F1BD19"/>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TFA General Page.dotx</Template>
  <TotalTime>1</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Kaylee Welgraven</dc:creator>
  <cp:keywords/>
  <dc:description/>
  <cp:lastModifiedBy>Kaylee Welgraven</cp:lastModifiedBy>
  <cp:revision>1</cp:revision>
  <dcterms:created xsi:type="dcterms:W3CDTF">2018-02-07T14:41:00Z</dcterms:created>
  <dcterms:modified xsi:type="dcterms:W3CDTF">2018-02-07T14:42:00Z</dcterms:modified>
</cp:coreProperties>
</file>